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22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631510" w:rsidRPr="006E0418" w14:paraId="6522CACA" w14:textId="77777777" w:rsidTr="00D45D72">
        <w:trPr>
          <w:trHeight w:val="645"/>
        </w:trPr>
        <w:tc>
          <w:tcPr>
            <w:tcW w:w="14959" w:type="dxa"/>
            <w:gridSpan w:val="5"/>
            <w:shd w:val="clear" w:color="auto" w:fill="FFFFFF" w:themeFill="background1"/>
          </w:tcPr>
          <w:p w14:paraId="7F6F1FC5" w14:textId="77777777" w:rsidR="00631510" w:rsidRPr="00451B9B" w:rsidRDefault="00631510" w:rsidP="00D45D72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7D1E48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„Prijedlog godišnjeg izvedbenog kurikuluma za Islamski vjeronauk u 2. razredu srednje škole za školsku godinu </w:t>
            </w:r>
            <w:r w:rsidRPr="001970F1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202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1</w:t>
            </w:r>
            <w:r w:rsidRPr="001970F1"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./202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32"/>
                <w:szCs w:val="32"/>
              </w:rPr>
              <w:t>2</w:t>
            </w:r>
            <w:r w:rsidRPr="7D1E48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.“</w:t>
            </w:r>
          </w:p>
        </w:tc>
      </w:tr>
      <w:tr w:rsidR="00631510" w14:paraId="3A678BCC" w14:textId="77777777" w:rsidTr="00D45D72">
        <w:trPr>
          <w:trHeight w:val="645"/>
        </w:trPr>
        <w:tc>
          <w:tcPr>
            <w:tcW w:w="2867" w:type="dxa"/>
            <w:shd w:val="clear" w:color="auto" w:fill="70AD47" w:themeFill="accent6"/>
          </w:tcPr>
          <w:p w14:paraId="02CA9BE6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Redni broj tjedna</w:t>
            </w:r>
          </w:p>
          <w:p w14:paraId="31CB8B57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70AD47" w:themeFill="accent6"/>
          </w:tcPr>
          <w:p w14:paraId="68AD58B4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Tema</w:t>
            </w:r>
          </w:p>
          <w:p w14:paraId="5D30E8E6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70AD47" w:themeFill="accent6"/>
          </w:tcPr>
          <w:p w14:paraId="3863B4E5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Podtema</w:t>
            </w:r>
          </w:p>
          <w:p w14:paraId="641F79E6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70AD47" w:themeFill="accent6"/>
          </w:tcPr>
          <w:p w14:paraId="26945C0D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Odgojno-obrazovni ishodi</w:t>
            </w:r>
          </w:p>
          <w:p w14:paraId="249C1CFD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70AD47" w:themeFill="accent6"/>
          </w:tcPr>
          <w:p w14:paraId="1410ED94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7D1E481E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7D1E481E">
              <w:rPr>
                <w:b/>
                <w:bCs/>
                <w:sz w:val="24"/>
                <w:szCs w:val="24"/>
              </w:rPr>
              <w:t xml:space="preserve"> teme</w:t>
            </w:r>
          </w:p>
          <w:p w14:paraId="68770E2C" w14:textId="77777777" w:rsidR="00631510" w:rsidRDefault="00631510" w:rsidP="00D45D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1510" w:rsidRPr="006E0418" w14:paraId="57CA43B4" w14:textId="77777777" w:rsidTr="00D45D72">
        <w:trPr>
          <w:trHeight w:val="516"/>
        </w:trPr>
        <w:tc>
          <w:tcPr>
            <w:tcW w:w="2867" w:type="dxa"/>
          </w:tcPr>
          <w:p w14:paraId="316AD47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6A65E4B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VJERA U ALLAHA, DŽ.Š.</w:t>
            </w:r>
          </w:p>
        </w:tc>
        <w:tc>
          <w:tcPr>
            <w:tcW w:w="2896" w:type="dxa"/>
          </w:tcPr>
          <w:p w14:paraId="6205557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</w:t>
            </w:r>
          </w:p>
        </w:tc>
        <w:tc>
          <w:tcPr>
            <w:tcW w:w="2905" w:type="dxa"/>
          </w:tcPr>
          <w:p w14:paraId="01ACAD85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5889816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E35840A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561752A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17B01D90" w14:textId="77777777" w:rsidTr="00D45D72">
        <w:trPr>
          <w:trHeight w:val="555"/>
        </w:trPr>
        <w:tc>
          <w:tcPr>
            <w:tcW w:w="2867" w:type="dxa"/>
          </w:tcPr>
          <w:p w14:paraId="0594405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2374E4F5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68049F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Dokazi vjere u Allaha</w:t>
            </w:r>
          </w:p>
        </w:tc>
        <w:tc>
          <w:tcPr>
            <w:tcW w:w="2905" w:type="dxa"/>
          </w:tcPr>
          <w:p w14:paraId="12A19292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5B80B3B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37B7B06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632B859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5FCB99E2" w14:textId="77777777" w:rsidTr="00D45D72">
        <w:trPr>
          <w:trHeight w:val="516"/>
        </w:trPr>
        <w:tc>
          <w:tcPr>
            <w:tcW w:w="2867" w:type="dxa"/>
          </w:tcPr>
          <w:p w14:paraId="5A6AE9E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29B9BBB" w14:textId="77777777" w:rsidR="00631510" w:rsidRPr="00C3724B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C3724B">
              <w:rPr>
                <w:color w:val="70AD47" w:themeColor="accent6"/>
                <w:sz w:val="24"/>
                <w:szCs w:val="24"/>
              </w:rPr>
              <w:t>ALLAH, DŽ. Š., U ŽIVOTU ČOVJEKA</w:t>
            </w:r>
          </w:p>
          <w:p w14:paraId="36B22ED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BC137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 se obraća čovjeku</w:t>
            </w:r>
          </w:p>
        </w:tc>
        <w:tc>
          <w:tcPr>
            <w:tcW w:w="2905" w:type="dxa"/>
          </w:tcPr>
          <w:p w14:paraId="0643DE3B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74B125D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B04BF75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1031C12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296AF1FE" w14:textId="77777777" w:rsidTr="00D45D72">
        <w:trPr>
          <w:trHeight w:val="555"/>
        </w:trPr>
        <w:tc>
          <w:tcPr>
            <w:tcW w:w="2867" w:type="dxa"/>
          </w:tcPr>
          <w:p w14:paraId="20DB4D1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4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8294AF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32DB6E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Vahj</w:t>
            </w:r>
            <w:proofErr w:type="spellEnd"/>
          </w:p>
        </w:tc>
        <w:tc>
          <w:tcPr>
            <w:tcW w:w="2905" w:type="dxa"/>
          </w:tcPr>
          <w:p w14:paraId="0BCDA4B7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6B34C531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627DC8E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E91F874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10F5312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788FF52A" w14:textId="77777777" w:rsidTr="00D45D72">
        <w:trPr>
          <w:trHeight w:val="516"/>
        </w:trPr>
        <w:tc>
          <w:tcPr>
            <w:tcW w:w="2867" w:type="dxa"/>
          </w:tcPr>
          <w:p w14:paraId="06D274CB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5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2D7493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DUHOVNA DIMENZIJA ČOVJEKA</w:t>
            </w:r>
          </w:p>
        </w:tc>
        <w:tc>
          <w:tcPr>
            <w:tcW w:w="2896" w:type="dxa"/>
          </w:tcPr>
          <w:p w14:paraId="2820A90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Ruh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</w:t>
            </w:r>
            <w:proofErr w:type="spellEnd"/>
          </w:p>
        </w:tc>
        <w:tc>
          <w:tcPr>
            <w:tcW w:w="2905" w:type="dxa"/>
          </w:tcPr>
          <w:p w14:paraId="080180E2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3CBA23E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C016CC1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6DB5F54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394350D0" w14:textId="77777777" w:rsidTr="00D45D72">
        <w:trPr>
          <w:trHeight w:val="516"/>
        </w:trPr>
        <w:tc>
          <w:tcPr>
            <w:tcW w:w="2867" w:type="dxa"/>
          </w:tcPr>
          <w:p w14:paraId="45BD520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6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AFFD30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502F4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Tjelesna dimenzija čovjeka</w:t>
            </w:r>
          </w:p>
        </w:tc>
        <w:tc>
          <w:tcPr>
            <w:tcW w:w="2905" w:type="dxa"/>
          </w:tcPr>
          <w:p w14:paraId="063382CE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012DC68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42694B1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67232E1B" w14:textId="77777777" w:rsidR="00631510" w:rsidRPr="00C9530D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4BACA50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page" w:horzAnchor="margin" w:tblpY="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631510" w:rsidRPr="006E0418" w14:paraId="7458763F" w14:textId="77777777" w:rsidTr="00D45D72">
        <w:trPr>
          <w:trHeight w:val="555"/>
        </w:trPr>
        <w:tc>
          <w:tcPr>
            <w:tcW w:w="2867" w:type="dxa"/>
          </w:tcPr>
          <w:p w14:paraId="6680048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583B1F3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28545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Suvremena islamska pitanja odnosa prema tijelu</w:t>
            </w:r>
          </w:p>
        </w:tc>
        <w:tc>
          <w:tcPr>
            <w:tcW w:w="2905" w:type="dxa"/>
          </w:tcPr>
          <w:p w14:paraId="7938A0FC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0C84EED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BA39BA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14:paraId="62CB7B5B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3348365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37DE319E" w14:textId="77777777" w:rsidTr="00D45D72">
        <w:trPr>
          <w:trHeight w:val="516"/>
        </w:trPr>
        <w:tc>
          <w:tcPr>
            <w:tcW w:w="2867" w:type="dxa"/>
          </w:tcPr>
          <w:p w14:paraId="00BD514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8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79E3534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FE9FC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Transplantacija organa</w:t>
            </w:r>
          </w:p>
        </w:tc>
        <w:tc>
          <w:tcPr>
            <w:tcW w:w="2905" w:type="dxa"/>
          </w:tcPr>
          <w:p w14:paraId="6343E077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3E073343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354658B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66C77532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CE7E8E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40D4F48D" w14:textId="77777777" w:rsidTr="00D45D72">
        <w:trPr>
          <w:trHeight w:val="555"/>
        </w:trPr>
        <w:tc>
          <w:tcPr>
            <w:tcW w:w="2867" w:type="dxa"/>
          </w:tcPr>
          <w:p w14:paraId="62225C7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9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5B42AB9B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BE39B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Pobačaj</w:t>
            </w:r>
          </w:p>
        </w:tc>
        <w:tc>
          <w:tcPr>
            <w:tcW w:w="2905" w:type="dxa"/>
          </w:tcPr>
          <w:p w14:paraId="47B9FF19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457C2A17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47677D3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83A6331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22FC36F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2D530A47" w14:textId="77777777" w:rsidTr="00D45D72">
        <w:trPr>
          <w:trHeight w:val="555"/>
        </w:trPr>
        <w:tc>
          <w:tcPr>
            <w:tcW w:w="2867" w:type="dxa"/>
          </w:tcPr>
          <w:p w14:paraId="44B68AC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29F5FD8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D0C281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Transfuzija krvi</w:t>
            </w:r>
          </w:p>
        </w:tc>
        <w:tc>
          <w:tcPr>
            <w:tcW w:w="2905" w:type="dxa"/>
          </w:tcPr>
          <w:p w14:paraId="3669EFF7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19279DC4" w14:textId="77777777" w:rsidR="00631510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1FDC232D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5B3E26F3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7A691B8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0826A13B" w14:textId="77777777" w:rsidTr="00D45D72">
        <w:trPr>
          <w:trHeight w:val="555"/>
        </w:trPr>
        <w:tc>
          <w:tcPr>
            <w:tcW w:w="2867" w:type="dxa"/>
          </w:tcPr>
          <w:p w14:paraId="65BE0AA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6AB7FB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VJERA: SPOJ DUHOVNE I TJELESNE DIMENZIJE</w:t>
            </w:r>
          </w:p>
        </w:tc>
        <w:tc>
          <w:tcPr>
            <w:tcW w:w="2896" w:type="dxa"/>
          </w:tcPr>
          <w:p w14:paraId="3C502BA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 u suvremenom svijetu</w:t>
            </w:r>
          </w:p>
        </w:tc>
        <w:tc>
          <w:tcPr>
            <w:tcW w:w="2905" w:type="dxa"/>
          </w:tcPr>
          <w:p w14:paraId="6AA8B0FD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649AC0A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1FDD082E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7D8F93D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3A4FB0AC" w14:textId="77777777" w:rsidTr="00D45D72">
        <w:trPr>
          <w:trHeight w:val="516"/>
        </w:trPr>
        <w:tc>
          <w:tcPr>
            <w:tcW w:w="2867" w:type="dxa"/>
          </w:tcPr>
          <w:p w14:paraId="4D0401E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DCA51A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5ABB09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Ponašanje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Muhammeda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</w:t>
            </w:r>
          </w:p>
        </w:tc>
        <w:tc>
          <w:tcPr>
            <w:tcW w:w="2905" w:type="dxa"/>
          </w:tcPr>
          <w:p w14:paraId="66A15AED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572A356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094F7B33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493611A5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3C183636" w14:textId="77777777" w:rsidTr="00D45D72">
        <w:trPr>
          <w:trHeight w:val="516"/>
        </w:trPr>
        <w:tc>
          <w:tcPr>
            <w:tcW w:w="2867" w:type="dxa"/>
          </w:tcPr>
          <w:p w14:paraId="1E39862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3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FDBA36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818E3E9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suprugama</w:t>
            </w:r>
          </w:p>
        </w:tc>
        <w:tc>
          <w:tcPr>
            <w:tcW w:w="2905" w:type="dxa"/>
          </w:tcPr>
          <w:p w14:paraId="7DEC49A4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CD21D4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53B9FAA5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20D15B4B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1AA80D7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5DD468D6" w14:textId="77777777" w:rsidTr="00D45D72">
        <w:trPr>
          <w:trHeight w:val="516"/>
        </w:trPr>
        <w:tc>
          <w:tcPr>
            <w:tcW w:w="2867" w:type="dxa"/>
          </w:tcPr>
          <w:p w14:paraId="07E49C1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14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846175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3F9784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djeci</w:t>
            </w:r>
          </w:p>
        </w:tc>
        <w:tc>
          <w:tcPr>
            <w:tcW w:w="2905" w:type="dxa"/>
          </w:tcPr>
          <w:p w14:paraId="74876326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08F3AD95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0756DB83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2A2FF4C7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CCE350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44DCEB38" w14:textId="77777777" w:rsidTr="00D45D72">
        <w:trPr>
          <w:trHeight w:val="516"/>
        </w:trPr>
        <w:tc>
          <w:tcPr>
            <w:tcW w:w="2867" w:type="dxa"/>
          </w:tcPr>
          <w:p w14:paraId="38C6D52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15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EEBF2DD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POST U PRAKSI</w:t>
            </w:r>
          </w:p>
        </w:tc>
        <w:tc>
          <w:tcPr>
            <w:tcW w:w="2896" w:type="dxa"/>
          </w:tcPr>
          <w:p w14:paraId="7CD0DCE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Propisi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fidje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kefareta</w:t>
            </w:r>
            <w:proofErr w:type="spellEnd"/>
          </w:p>
        </w:tc>
        <w:tc>
          <w:tcPr>
            <w:tcW w:w="2905" w:type="dxa"/>
          </w:tcPr>
          <w:p w14:paraId="73B68059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3B66C3A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706CB81B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15DFC6D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78EF88CC" w14:textId="77777777" w:rsidTr="00D45D72">
        <w:trPr>
          <w:trHeight w:val="555"/>
        </w:trPr>
        <w:tc>
          <w:tcPr>
            <w:tcW w:w="2867" w:type="dxa"/>
          </w:tcPr>
          <w:p w14:paraId="6A38A28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16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19BEFC9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EC080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Fidja</w:t>
            </w:r>
            <w:proofErr w:type="spellEnd"/>
          </w:p>
        </w:tc>
        <w:tc>
          <w:tcPr>
            <w:tcW w:w="2905" w:type="dxa"/>
          </w:tcPr>
          <w:p w14:paraId="4FFC43EA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1BC64645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0828BE0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B3CDCCD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755030F1" w14:textId="77777777" w:rsidTr="00D45D72">
        <w:trPr>
          <w:trHeight w:val="555"/>
        </w:trPr>
        <w:tc>
          <w:tcPr>
            <w:tcW w:w="2867" w:type="dxa"/>
          </w:tcPr>
          <w:p w14:paraId="186002A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651B28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73ACF4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povijest ˗ zanimljivosti</w:t>
            </w:r>
          </w:p>
        </w:tc>
        <w:tc>
          <w:tcPr>
            <w:tcW w:w="2905" w:type="dxa"/>
          </w:tcPr>
          <w:p w14:paraId="262F3974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7CBBDC7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E05024A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3135BAE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60ECCFD9" w14:textId="77777777" w:rsidTr="00D45D72">
        <w:trPr>
          <w:trHeight w:val="516"/>
        </w:trPr>
        <w:tc>
          <w:tcPr>
            <w:tcW w:w="2867" w:type="dxa"/>
          </w:tcPr>
          <w:p w14:paraId="20728583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18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478C51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82DB64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religije</w:t>
            </w:r>
          </w:p>
        </w:tc>
        <w:tc>
          <w:tcPr>
            <w:tcW w:w="2905" w:type="dxa"/>
          </w:tcPr>
          <w:p w14:paraId="5CB7BBF4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  <w:p w14:paraId="0FB275E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C610457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40F0620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1E45249E" w14:textId="77777777" w:rsidTr="00D45D72">
        <w:trPr>
          <w:trHeight w:val="516"/>
        </w:trPr>
        <w:tc>
          <w:tcPr>
            <w:tcW w:w="2867" w:type="dxa"/>
          </w:tcPr>
          <w:p w14:paraId="77EEB1F6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19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B2E2D6B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RAZUMIJEVANJE ZEKATA</w:t>
            </w:r>
          </w:p>
        </w:tc>
        <w:tc>
          <w:tcPr>
            <w:tcW w:w="2896" w:type="dxa"/>
          </w:tcPr>
          <w:p w14:paraId="55912FD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Koristi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zekata</w:t>
            </w:r>
            <w:proofErr w:type="spellEnd"/>
          </w:p>
        </w:tc>
        <w:tc>
          <w:tcPr>
            <w:tcW w:w="2905" w:type="dxa"/>
          </w:tcPr>
          <w:p w14:paraId="3DE65B39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4946720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E92161E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35675BFC" w14:textId="77777777" w:rsidR="00631510" w:rsidRPr="00C9530D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5940994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lastRenderedPageBreak/>
              <w:t>odr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</w:tc>
      </w:tr>
      <w:tr w:rsidR="00631510" w:rsidRPr="006E0418" w14:paraId="31E9EBFD" w14:textId="77777777" w:rsidTr="00D45D72">
        <w:trPr>
          <w:trHeight w:val="516"/>
        </w:trPr>
        <w:tc>
          <w:tcPr>
            <w:tcW w:w="2867" w:type="dxa"/>
          </w:tcPr>
          <w:p w14:paraId="5D9A837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2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BB30DD5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ISKUSTVO HADŽA</w:t>
            </w:r>
          </w:p>
        </w:tc>
        <w:tc>
          <w:tcPr>
            <w:tcW w:w="2896" w:type="dxa"/>
          </w:tcPr>
          <w:p w14:paraId="6F26596D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Hadž ruhom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nefsom</w:t>
            </w:r>
            <w:proofErr w:type="spellEnd"/>
          </w:p>
        </w:tc>
        <w:tc>
          <w:tcPr>
            <w:tcW w:w="2905" w:type="dxa"/>
          </w:tcPr>
          <w:p w14:paraId="2D419B84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48F7E69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69567F01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36533A2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631510" w:rsidRPr="006E0418" w14:paraId="7390FB80" w14:textId="77777777" w:rsidTr="00D45D72">
        <w:trPr>
          <w:trHeight w:val="516"/>
        </w:trPr>
        <w:tc>
          <w:tcPr>
            <w:tcW w:w="2867" w:type="dxa"/>
          </w:tcPr>
          <w:p w14:paraId="760F273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3E6169A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A1F673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Hadž kao slika života</w:t>
            </w:r>
          </w:p>
        </w:tc>
        <w:tc>
          <w:tcPr>
            <w:tcW w:w="2905" w:type="dxa"/>
          </w:tcPr>
          <w:p w14:paraId="61C77541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3BEA3B5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23F46F8C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73682500" w14:textId="77777777" w:rsidR="00631510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7D60545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631510" w:rsidRPr="006E0418" w14:paraId="0AF830B6" w14:textId="77777777" w:rsidTr="00D45D72">
        <w:trPr>
          <w:trHeight w:val="555"/>
        </w:trPr>
        <w:tc>
          <w:tcPr>
            <w:tcW w:w="2867" w:type="dxa"/>
          </w:tcPr>
          <w:p w14:paraId="1C0D529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4627274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ŠERIJATSKO BRAČNO PRAVO</w:t>
            </w:r>
          </w:p>
        </w:tc>
        <w:tc>
          <w:tcPr>
            <w:tcW w:w="2896" w:type="dxa"/>
          </w:tcPr>
          <w:p w14:paraId="671AAB4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28BC00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06C1083F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36660DDD" w14:textId="77777777" w:rsidR="00631510" w:rsidRPr="00C9530D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C9530D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C9530D">
              <w:rPr>
                <w:color w:val="70AD47" w:themeColor="accent6"/>
                <w:sz w:val="24"/>
                <w:szCs w:val="24"/>
              </w:rPr>
              <w:t xml:space="preserve"> A.4.4.</w:t>
            </w:r>
          </w:p>
          <w:p w14:paraId="042E9AE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34DBDB03" w14:textId="77777777" w:rsidTr="00D45D72">
        <w:trPr>
          <w:trHeight w:val="555"/>
        </w:trPr>
        <w:tc>
          <w:tcPr>
            <w:tcW w:w="2867" w:type="dxa"/>
          </w:tcPr>
          <w:p w14:paraId="6E716578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14:paraId="0F4EA502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KUR'ANSKE EMOCIJE</w:t>
            </w:r>
          </w:p>
        </w:tc>
        <w:tc>
          <w:tcPr>
            <w:tcW w:w="2896" w:type="dxa"/>
          </w:tcPr>
          <w:p w14:paraId="571CED4E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ako ih razumjeti i živjeti?</w:t>
            </w:r>
          </w:p>
        </w:tc>
        <w:tc>
          <w:tcPr>
            <w:tcW w:w="2905" w:type="dxa"/>
          </w:tcPr>
          <w:p w14:paraId="0BC8B04A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2D1FD06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388A4713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2BD566F7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631510" w:rsidRPr="006E0418" w14:paraId="29051AB2" w14:textId="77777777" w:rsidTr="00D45D72">
        <w:trPr>
          <w:trHeight w:val="516"/>
        </w:trPr>
        <w:tc>
          <w:tcPr>
            <w:tcW w:w="2867" w:type="dxa"/>
          </w:tcPr>
          <w:p w14:paraId="716DCE4A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24.</w:t>
            </w:r>
          </w:p>
        </w:tc>
        <w:tc>
          <w:tcPr>
            <w:tcW w:w="2857" w:type="dxa"/>
          </w:tcPr>
          <w:p w14:paraId="1C8FE2AC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MUHAMMED, A.S.</w:t>
            </w:r>
          </w:p>
        </w:tc>
        <w:tc>
          <w:tcPr>
            <w:tcW w:w="2896" w:type="dxa"/>
          </w:tcPr>
          <w:p w14:paraId="56F7A8A4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ur’anski</w:t>
            </w:r>
            <w:proofErr w:type="spellEnd"/>
            <w:r w:rsidRPr="00B26809">
              <w:rPr>
                <w:color w:val="70AD47" w:themeColor="accent6"/>
                <w:sz w:val="24"/>
                <w:szCs w:val="24"/>
              </w:rPr>
              <w:t xml:space="preserve"> prikaz</w:t>
            </w:r>
          </w:p>
        </w:tc>
        <w:tc>
          <w:tcPr>
            <w:tcW w:w="2905" w:type="dxa"/>
          </w:tcPr>
          <w:p w14:paraId="760D7258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7CE880D8" w14:textId="77777777" w:rsidR="00631510" w:rsidRPr="00BA39BA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  <w:p w14:paraId="7EA3C771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6C272652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34F603C3" w14:textId="77777777" w:rsidR="00631510" w:rsidRPr="002B5CD1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5CFB1FF0" w14:textId="77777777" w:rsidR="00631510" w:rsidRPr="006E0418" w:rsidRDefault="00631510" w:rsidP="00D45D72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43DDF6B4" w14:textId="77777777" w:rsidR="00631510" w:rsidRPr="006E0418" w:rsidRDefault="00631510" w:rsidP="00631510">
      <w:pPr>
        <w:rPr>
          <w:color w:val="70AD47" w:themeColor="accent6"/>
          <w:sz w:val="24"/>
          <w:szCs w:val="24"/>
        </w:rPr>
      </w:pPr>
    </w:p>
    <w:p w14:paraId="354E41A4" w14:textId="77777777" w:rsidR="00631510" w:rsidRDefault="00631510" w:rsidP="00631510">
      <w:pPr>
        <w:rPr>
          <w:color w:val="70AD47" w:themeColor="accent6"/>
          <w:sz w:val="24"/>
          <w:szCs w:val="24"/>
        </w:rPr>
      </w:pPr>
    </w:p>
    <w:p w14:paraId="1638F9C9" w14:textId="77777777" w:rsidR="00631510" w:rsidRDefault="00631510" w:rsidP="00631510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22D35941" w14:textId="77777777" w:rsidR="00631510" w:rsidRDefault="00631510" w:rsidP="00631510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1970F1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1970F1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koji preporuča izvođenje nastave u blok-satu, prijedlog GIK-a prilagođen je izvođenju u blok-satu. Jedna tema namijenjena je za 2 školska sata. </w:t>
      </w:r>
      <w:r w:rsidRPr="00EB7DC1">
        <w:rPr>
          <w:color w:val="FF0000"/>
          <w:sz w:val="24"/>
          <w:szCs w:val="24"/>
        </w:rPr>
        <w:t xml:space="preserve">Predložene teme koje su planirane za 2 školska sata  ujedno su i teme </w:t>
      </w:r>
      <w:proofErr w:type="spellStart"/>
      <w:r w:rsidRPr="00EB7DC1">
        <w:rPr>
          <w:color w:val="FF0000"/>
          <w:sz w:val="24"/>
          <w:szCs w:val="24"/>
        </w:rPr>
        <w:t>videolekcija</w:t>
      </w:r>
      <w:proofErr w:type="spellEnd"/>
      <w:r w:rsidRPr="00EB7DC1">
        <w:rPr>
          <w:color w:val="FF0000"/>
          <w:sz w:val="24"/>
          <w:szCs w:val="24"/>
        </w:rPr>
        <w:t>.</w:t>
      </w:r>
    </w:p>
    <w:p w14:paraId="2113E629" w14:textId="77777777" w:rsidR="00631510" w:rsidRPr="001970F1" w:rsidRDefault="00631510" w:rsidP="00631510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Prva tri tjedna planirati ponavljanje.</w:t>
      </w:r>
    </w:p>
    <w:p w14:paraId="13717AAE" w14:textId="77777777" w:rsidR="00631510" w:rsidRDefault="00631510" w:rsidP="00631510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037C1924" w14:textId="77777777" w:rsidR="00631510" w:rsidRPr="00755655" w:rsidRDefault="00631510" w:rsidP="00631510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4ADD28D5" w14:textId="77777777" w:rsidR="00631510" w:rsidRPr="006E0418" w:rsidRDefault="00631510" w:rsidP="00631510">
      <w:pPr>
        <w:rPr>
          <w:color w:val="70AD47" w:themeColor="accent6"/>
          <w:sz w:val="24"/>
          <w:szCs w:val="24"/>
        </w:rPr>
      </w:pPr>
    </w:p>
    <w:p w14:paraId="6DF0E13B" w14:textId="77777777" w:rsidR="00792C5A" w:rsidRDefault="00792C5A"/>
    <w:sectPr w:rsidR="00792C5A" w:rsidSect="005930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6989" w14:textId="77777777" w:rsidR="00E54D4B" w:rsidRDefault="00E54D4B">
      <w:pPr>
        <w:spacing w:after="0" w:line="240" w:lineRule="auto"/>
      </w:pPr>
      <w:r>
        <w:separator/>
      </w:r>
    </w:p>
  </w:endnote>
  <w:endnote w:type="continuationSeparator" w:id="0">
    <w:p w14:paraId="108E1B60" w14:textId="77777777" w:rsidR="00E54D4B" w:rsidRDefault="00E5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7D1E481E" w14:paraId="391A9162" w14:textId="77777777" w:rsidTr="7D1E481E">
      <w:tc>
        <w:tcPr>
          <w:tcW w:w="4857" w:type="dxa"/>
        </w:tcPr>
        <w:p w14:paraId="7C585299" w14:textId="77777777" w:rsidR="7D1E481E" w:rsidRDefault="00E54D4B" w:rsidP="7D1E481E">
          <w:pPr>
            <w:pStyle w:val="Zaglavlje"/>
            <w:ind w:left="-115"/>
          </w:pPr>
        </w:p>
      </w:tc>
      <w:tc>
        <w:tcPr>
          <w:tcW w:w="4857" w:type="dxa"/>
        </w:tcPr>
        <w:p w14:paraId="6365A161" w14:textId="77777777" w:rsidR="7D1E481E" w:rsidRDefault="00E54D4B" w:rsidP="7D1E481E">
          <w:pPr>
            <w:pStyle w:val="Zaglavlje"/>
            <w:jc w:val="center"/>
          </w:pPr>
        </w:p>
      </w:tc>
      <w:tc>
        <w:tcPr>
          <w:tcW w:w="4857" w:type="dxa"/>
        </w:tcPr>
        <w:p w14:paraId="4CECF25C" w14:textId="77777777" w:rsidR="7D1E481E" w:rsidRDefault="00E54D4B" w:rsidP="7D1E481E">
          <w:pPr>
            <w:pStyle w:val="Zaglavlje"/>
            <w:ind w:right="-115"/>
            <w:jc w:val="right"/>
          </w:pPr>
        </w:p>
      </w:tc>
    </w:tr>
  </w:tbl>
  <w:p w14:paraId="4B482DE6" w14:textId="77777777" w:rsidR="7D1E481E" w:rsidRDefault="00E54D4B" w:rsidP="7D1E48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9046" w14:textId="77777777" w:rsidR="00E54D4B" w:rsidRDefault="00E54D4B">
      <w:pPr>
        <w:spacing w:after="0" w:line="240" w:lineRule="auto"/>
      </w:pPr>
      <w:r>
        <w:separator/>
      </w:r>
    </w:p>
  </w:footnote>
  <w:footnote w:type="continuationSeparator" w:id="0">
    <w:p w14:paraId="797C5000" w14:textId="77777777" w:rsidR="00E54D4B" w:rsidRDefault="00E5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5A68" w14:textId="77777777" w:rsidR="7D1E481E" w:rsidRDefault="00E54D4B" w:rsidP="7D1E48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47"/>
    <w:rsid w:val="004824A2"/>
    <w:rsid w:val="004C63FE"/>
    <w:rsid w:val="00621102"/>
    <w:rsid w:val="00623196"/>
    <w:rsid w:val="00631510"/>
    <w:rsid w:val="006C3264"/>
    <w:rsid w:val="00792C5A"/>
    <w:rsid w:val="007F4941"/>
    <w:rsid w:val="009549CD"/>
    <w:rsid w:val="00AD10A7"/>
    <w:rsid w:val="00AD6551"/>
    <w:rsid w:val="00B41019"/>
    <w:rsid w:val="00E54D4B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A9E3E-0A8F-4A7A-9B7B-FB0EFE44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5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631510"/>
  </w:style>
  <w:style w:type="paragraph" w:styleId="Zaglavlje">
    <w:name w:val="header"/>
    <w:basedOn w:val="Normal"/>
    <w:link w:val="ZaglavljeChar"/>
    <w:uiPriority w:val="99"/>
    <w:unhideWhenUsed/>
    <w:rsid w:val="0063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1">
    <w:name w:val="Zaglavlje Char1"/>
    <w:basedOn w:val="Zadanifontodlomka"/>
    <w:uiPriority w:val="99"/>
    <w:semiHidden/>
    <w:rsid w:val="00631510"/>
  </w:style>
  <w:style w:type="character" w:customStyle="1" w:styleId="PodnojeChar">
    <w:name w:val="Podnožje Char"/>
    <w:basedOn w:val="Zadanifontodlomka"/>
    <w:link w:val="Podnoje"/>
    <w:uiPriority w:val="99"/>
    <w:rsid w:val="00631510"/>
  </w:style>
  <w:style w:type="paragraph" w:styleId="Podnoje">
    <w:name w:val="footer"/>
    <w:basedOn w:val="Normal"/>
    <w:link w:val="PodnojeChar"/>
    <w:uiPriority w:val="99"/>
    <w:unhideWhenUsed/>
    <w:rsid w:val="0063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1">
    <w:name w:val="Podnožje Char1"/>
    <w:basedOn w:val="Zadanifontodlomka"/>
    <w:uiPriority w:val="99"/>
    <w:semiHidden/>
    <w:rsid w:val="0063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EAB71-EEE3-4DEA-9264-E0416677B39B}"/>
</file>

<file path=customXml/itemProps2.xml><?xml version="1.0" encoding="utf-8"?>
<ds:datastoreItem xmlns:ds="http://schemas.openxmlformats.org/officeDocument/2006/customXml" ds:itemID="{84F959C7-A159-41AB-83D8-8A3006C097CC}"/>
</file>

<file path=customXml/itemProps3.xml><?xml version="1.0" encoding="utf-8"?>
<ds:datastoreItem xmlns:ds="http://schemas.openxmlformats.org/officeDocument/2006/customXml" ds:itemID="{7E897055-D53F-416B-894B-AD964AF73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2021-09-07T09:15:00Z</dcterms:created>
  <dcterms:modified xsi:type="dcterms:W3CDTF">2021-09-07T09:15:00Z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